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庵堂坞水库防洪抢险应急预案</w:t>
      </w:r>
    </w:p>
    <w:p>
      <w:p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1、总则</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1.1编制目的</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为了防治洪水，防御并减轻洪涝灾害，保障人民生命财产安全，减少水灾损失，减少水患，以及做好水库防洪工作，特编制庵堂坞水库防洪抢险应急预案。</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1.2编制依据</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庵堂坞水库防洪抢险应急预案编制根据《中华人民共和国水法》、《中华人民共和国防洪法》及《中华人民共和国防汛条例》和江西省实施《中华人民共和国水法》办法与市、县防汛抗旱指挥部下达的文件精神为依据，现编制2024年庵堂坞水库防洪抢险应急预案。</w:t>
      </w:r>
    </w:p>
    <w:p>
      <w:pPr>
        <w:numPr>
          <w:ilvl w:val="0"/>
          <w:numId w:val="1"/>
        </w:num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基本情况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2.1工程概况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庵堂坞水库位于浮梁镇查大村陈家山组，大坝坝址所处地理位置东经117°11’44”，北纬29°23’55”，距浮梁镇政府所在地5KM，属饶河昌江支流。庵堂坞水库始建于1958年10月，1959年3月竣工。总库容14.7万m³，主要建筑物由斜涵、大坝、平涵、溢洪道、值班房及监控设备组成。溢洪道位于水库右边，斜涵、平涵位于水库大坝左边，值班房位于水库右边，其他设备安装在水库大坝坝体上。水库主要以农田灌溉为主。</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庵堂坞水库2014年4月经相关部门进行安全鉴定，需要进行加固除险。2014年经景德镇市水利规划设计院设计列入浮梁县2014年病险水库除险加固项目。并经过上级部门竣工验收，工程项目建设合格。</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庵堂坞水库设施安全管理交由浮梁镇人民政府管理，运行管理由浮梁镇农业农村办负责管理，维修养护统一由县水利开发建设有限公司负责。水库管理2人，其中镇政府水利部门1人，村级水管员1人。</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庵堂坞水库经过2014年除险加固后无主要问题，目前存在的问题是由于强降雨上游漂浮杂物流向溢洪道及斜涵。发现有漂浮物有管理人员及时打捞。</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2.2防洪调度方式</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水库防洪调度主要是利用水库的调蓄作用和控泄能力有计划地调节洪水，主要有以下调度方式：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固定泄洪调度，控制下泄流量。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防洪预报调度。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防洪与兴利联合调度。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水库工程安全防洪调度。</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以上四种水库防洪调度根据雨情灵活多样进行水库防洪调度，确保水库安全运行。</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2.3历史险情及抢险情况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1996年6月份水库未进行除险加固，大暴雨溢洪道水位高达0.6米。下游多处地带冲毁。2014年庵堂坞水库除险加固后，多年来，溢洪道最高水位0.2米，防汛抢险人员及时疏通溢洪道杂物。</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应急保障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3.1组织保障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（一）加强水库组织保障措施，确保五个责任人到岗到位。</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1.行政责任人：任爱民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2.主管责任人：黄杰权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3.管理责任人：吴彬     金竹村书记   13684888802</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4.技术责任人：余顺发   镇农业农村办主任（水利技术员）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5.巡查责任人：吴荣贵   巡查员       13879890157</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（二）庵堂坞水库临时指挥部组成：</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（1）临时指挥部负责人：任爱民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1.根据汛情，及时做出工作部署;</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2.协调解决水库大坝防洪安全管理的重大问题;</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3.组织防洪抢险和重大事件的应急处置;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4.负责向上级政府责任人报告重大事件。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1.监督指导水库开展防洪调度;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2.组织防汛安全检查;</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4.组织防汛知识和技能培训;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5.负责向上级防汛部门报告重大事件。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余顺发   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2.指导防汛准备;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吴彬   金竹村书记   13684888802</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2.开展防汛安全检查,做好防汛准备;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3.开展防洪抢险和重大事件的应急处置;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4.组织职工参加防汛知识培训;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5.负责向防汛部门报告险情和重大事件。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吴荣贵   巡查员   13879890157</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1.执行水库防洪调度运用计划（度汛方案）及应急预案;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2.开展巡查、雨水情观测,做好记录;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3.按规定的要求进行报汛;</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4.参与防洪抢险和重大事件的应急处置;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5.负责向管理责任人报告险情和重大事件。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3.2队伍保障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抢险队伍人员名单：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队长：黄杰权   浮梁镇党委委员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成员：余顺发、付江江、方怡舟、吴伟、田慧军、周镇华、程容华、程云萍、程育才、齐文斌、程有根、范松友、余立璇、胡俊杰、杨文兴。</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3.3物资保障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庵堂坞水库备有块石5方，沙石料5方，编织袋300条，木柱20根。存放在水库值班房及水库沙石料池内，管理员吴荣贵，联系电话：13879890157.</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3.4其他保障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庵堂坞水库通信、交通、电力保障正常。汛前开展防洪巡查并进行演练。</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巡查与险情处置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4.1巡查与险情报告</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水库巡查包括水库坝体、坝基、斜涵、平涵、溢洪道及通信监控设备等设施有无渗漏、堵塞及设备损坏情况发生，采取现场检查察看方式巡查，做到主汛期每天巡查1次，后汛期每2天巡查1次，非主汛期7天巡查1次，并做好巡察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险情报告。如发现水库出现险情时向上级管理单位上报，同时并关注险情变化，保障信息畅通。</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4.2险情处理</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人员发现险情后，立即报告水库直接责任人及行政责任人，应急抢险临时指挥部接到险情报告后，第一时间向下游预警，并制定水库险情处置方案，组织抢险队伍人员实施抢险。险情处置完成后，安排人员24小时值班监测。</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若险情威胁大坝安全，应立即向上级防汛指挥机构报告，请求支援，同时做好下游危险区人员转移安置准备工作，确保人员安全。</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超标准洪水与溃坝防御方案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5.1超标准洪水防御方案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水库在无超标准洪水时，把水位降至汛限水位以下，腾出库容，加强值班巡查，水库行政责任人、主管责任人、管理责任人、技术责任人、巡查责任人到岗到位，同时通知水库下游群众转移到安全区。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5.2溃坝洪水防御方案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当遇到溃坝失事防御方案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当遇到水库溃坝时应采取应变措施：</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1.</w:t>
      </w:r>
      <w:r>
        <w:rPr>
          <w:rFonts w:hint="eastAsia" w:ascii="宋体" w:hAnsi="宋体" w:eastAsia="宋体" w:cs="宋体"/>
          <w:sz w:val="28"/>
          <w:szCs w:val="28"/>
          <w:lang w:val="en-US" w:eastAsia="zh-CN"/>
        </w:rPr>
        <w:t>降低溢洪道，加快洪水泄洪能力；</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2.</w:t>
      </w:r>
      <w:r>
        <w:rPr>
          <w:rFonts w:hint="eastAsia" w:ascii="宋体" w:hAnsi="宋体" w:eastAsia="宋体" w:cs="宋体"/>
          <w:sz w:val="28"/>
          <w:szCs w:val="28"/>
          <w:lang w:val="en-US" w:eastAsia="zh-CN"/>
        </w:rPr>
        <w:t>增加泄洪能力，快速泄洪；</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3.</w:t>
      </w:r>
      <w:r>
        <w:rPr>
          <w:rFonts w:hint="eastAsia" w:ascii="宋体" w:hAnsi="宋体" w:eastAsia="宋体" w:cs="宋体"/>
          <w:sz w:val="28"/>
          <w:szCs w:val="28"/>
          <w:lang w:val="en-US" w:eastAsia="zh-CN"/>
        </w:rPr>
        <w:t>及时通知下游人员安全转移到安全区；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4.</w:t>
      </w:r>
      <w:r>
        <w:rPr>
          <w:rFonts w:hint="eastAsia" w:ascii="宋体" w:hAnsi="宋体" w:eastAsia="宋体" w:cs="宋体"/>
          <w:sz w:val="28"/>
          <w:szCs w:val="28"/>
          <w:lang w:val="en-US" w:eastAsia="zh-CN"/>
        </w:rPr>
        <w:t>快速降低水库水位是应对超标准洪水的关键措施。</w:t>
      </w:r>
    </w:p>
    <w:p>
      <w:pPr>
        <w:numPr>
          <w:ilvl w:val="0"/>
          <w:numId w:val="1"/>
        </w:numPr>
        <w:ind w:left="0" w:leftChars="0" w:firstLine="562" w:firstLineChars="200"/>
        <w:jc w:val="both"/>
        <w:rPr>
          <w:rFonts w:hint="eastAsia" w:ascii="宋体" w:hAnsi="宋体" w:eastAsia="宋体" w:cs="宋体"/>
          <w:sz w:val="28"/>
          <w:szCs w:val="28"/>
          <w:lang w:val="en-US" w:eastAsia="zh-CN"/>
        </w:rPr>
      </w:pPr>
      <w:r>
        <w:rPr>
          <w:rFonts w:hint="eastAsia" w:ascii="宋体" w:hAnsi="宋体" w:eastAsia="宋体" w:cs="宋体"/>
          <w:b/>
          <w:bCs/>
          <w:sz w:val="28"/>
          <w:szCs w:val="28"/>
          <w:lang w:val="en-US" w:eastAsia="zh-CN"/>
        </w:rPr>
        <w:t>人员转移及安置</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水库下游转移地点：水库下游无人员转移</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附图和附表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7.1附图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图一：水库地理位置示意图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图二：水库枢纽平面布置图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7.2附表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水库防洪抢险应急预案简表</w:t>
      </w:r>
    </w:p>
    <w:p/>
    <w:p>
      <w:r>
        <w:rPr>
          <w:rFonts w:hint="eastAsia" w:ascii="华文中宋" w:hAnsi="华文中宋" w:eastAsia="华文中宋"/>
          <w:sz w:val="44"/>
          <w:szCs w:val="44"/>
          <w:lang w:eastAsia="zh-CN"/>
        </w:rPr>
        <w:drawing>
          <wp:anchor distT="0" distB="0" distL="114300" distR="114300" simplePos="0" relativeHeight="251659264" behindDoc="0" locked="0" layoutInCell="1" allowOverlap="1">
            <wp:simplePos x="0" y="0"/>
            <wp:positionH relativeFrom="column">
              <wp:posOffset>-211455</wp:posOffset>
            </wp:positionH>
            <wp:positionV relativeFrom="paragraph">
              <wp:posOffset>196850</wp:posOffset>
            </wp:positionV>
            <wp:extent cx="5754370" cy="7835265"/>
            <wp:effectExtent l="0" t="0" r="17780" b="13335"/>
            <wp:wrapNone/>
            <wp:docPr id="5" name="图片 5" descr="庵堂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庵堂坞"/>
                    <pic:cNvPicPr>
                      <a:picLocks noChangeAspect="1"/>
                    </pic:cNvPicPr>
                  </pic:nvPicPr>
                  <pic:blipFill>
                    <a:blip r:embed="rId4"/>
                    <a:stretch>
                      <a:fillRect/>
                    </a:stretch>
                  </pic:blipFill>
                  <pic:spPr>
                    <a:xfrm>
                      <a:off x="0" y="0"/>
                      <a:ext cx="5754370" cy="7835265"/>
                    </a:xfrm>
                    <a:prstGeom prst="rect">
                      <a:avLst/>
                    </a:prstGeom>
                  </pic:spPr>
                </pic:pic>
              </a:graphicData>
            </a:graphic>
          </wp:anchor>
        </w:drawing>
      </w:r>
    </w:p>
    <w:p/>
    <w:p/>
    <w:p/>
    <w:p/>
    <w:p/>
    <w:p/>
    <w:p/>
    <w:p/>
    <w:p/>
    <w:p/>
    <w:p/>
    <w:p/>
    <w:p/>
    <w:p/>
    <w:p/>
    <w:p/>
    <w:p/>
    <w:p/>
    <w:p/>
    <w:p/>
    <w:p/>
    <w:p/>
    <w:p/>
    <w:p/>
    <w:p/>
    <w:p/>
    <w:p/>
    <w:p/>
    <w:p/>
    <w:p/>
    <w:p/>
    <w:p/>
    <w:p/>
    <w:p/>
    <w:p/>
    <w:p/>
    <w:p/>
    <w:p/>
    <w:p/>
    <w:p/>
    <w:p/>
    <w:p>
      <w:pPr>
        <w:jc w:val="both"/>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图一</w:t>
      </w:r>
    </w:p>
    <w:p/>
    <w:p/>
    <w:p/>
    <w:p/>
    <w:p/>
    <w:p/>
    <w:p/>
    <w:p>
      <w:pPr>
        <w:rPr>
          <w:rFonts w:hint="eastAsia" w:eastAsiaTheme="minorEastAsia"/>
          <w:lang w:eastAsia="zh-CN"/>
        </w:rPr>
      </w:pPr>
      <w:r>
        <w:rPr>
          <w:rFonts w:hint="eastAsia" w:eastAsiaTheme="minorEastAsia"/>
          <w:lang w:eastAsia="zh-CN"/>
        </w:rPr>
        <w:drawing>
          <wp:anchor distT="0" distB="0" distL="114300" distR="114300" simplePos="0" relativeHeight="251660288" behindDoc="0" locked="0" layoutInCell="1" allowOverlap="1">
            <wp:simplePos x="0" y="0"/>
            <wp:positionH relativeFrom="column">
              <wp:posOffset>0</wp:posOffset>
            </wp:positionH>
            <wp:positionV relativeFrom="paragraph">
              <wp:posOffset>-1356360</wp:posOffset>
            </wp:positionV>
            <wp:extent cx="5267960" cy="7461250"/>
            <wp:effectExtent l="0" t="0" r="8890" b="6350"/>
            <wp:wrapNone/>
            <wp:docPr id="1" name="图片 1"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
                    <pic:cNvPicPr>
                      <a:picLocks noChangeAspect="1"/>
                    </pic:cNvPicPr>
                  </pic:nvPicPr>
                  <pic:blipFill>
                    <a:blip r:embed="rId5"/>
                    <a:stretch>
                      <a:fillRect/>
                    </a:stretch>
                  </pic:blipFill>
                  <pic:spPr>
                    <a:xfrm>
                      <a:off x="0" y="0"/>
                      <a:ext cx="5267960" cy="7461250"/>
                    </a:xfrm>
                    <a:prstGeom prst="rect">
                      <a:avLst/>
                    </a:prstGeom>
                  </pic:spPr>
                </pic:pic>
              </a:graphicData>
            </a:graphic>
          </wp:anchor>
        </w:drawing>
      </w:r>
    </w:p>
    <w:p/>
    <w:p/>
    <w:p/>
    <w:p/>
    <w:p/>
    <w:p/>
    <w:p/>
    <w:p/>
    <w:p/>
    <w:p/>
    <w:p/>
    <w:p/>
    <w:p/>
    <w:p/>
    <w:p/>
    <w:p/>
    <w:p/>
    <w:p/>
    <w:p/>
    <w:p/>
    <w:p/>
    <w:p/>
    <w:p/>
    <w:p/>
    <w:p/>
    <w:p/>
    <w:p/>
    <w:p/>
    <w:p/>
    <w:p/>
    <w:p/>
    <w:p/>
    <w:p/>
    <w:p>
      <w:pPr>
        <w:jc w:val="center"/>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图二</w:t>
      </w:r>
    </w:p>
    <w:p>
      <w:pPr>
        <w:sectPr>
          <w:pgSz w:w="11906" w:h="16838"/>
          <w:pgMar w:top="1440" w:right="1800" w:bottom="1440" w:left="1800" w:header="851" w:footer="992" w:gutter="0"/>
          <w:cols w:space="425" w:num="1"/>
          <w:docGrid w:type="lines" w:linePitch="312" w:charSpace="0"/>
        </w:sectPr>
      </w:pPr>
    </w:p>
    <w:tbl>
      <w:tblPr>
        <w:tblStyle w:val="2"/>
        <w:tblW w:w="0" w:type="auto"/>
        <w:tblInd w:w="0" w:type="dxa"/>
        <w:tblLayout w:type="autofit"/>
        <w:tblCellMar>
          <w:top w:w="0" w:type="dxa"/>
          <w:left w:w="108" w:type="dxa"/>
          <w:bottom w:w="0" w:type="dxa"/>
          <w:right w:w="108" w:type="dxa"/>
        </w:tblCellMar>
      </w:tblPr>
      <w:tblGrid>
        <w:gridCol w:w="747"/>
        <w:gridCol w:w="782"/>
        <w:gridCol w:w="948"/>
        <w:gridCol w:w="947"/>
        <w:gridCol w:w="1088"/>
        <w:gridCol w:w="506"/>
        <w:gridCol w:w="506"/>
        <w:gridCol w:w="506"/>
        <w:gridCol w:w="634"/>
        <w:gridCol w:w="492"/>
        <w:gridCol w:w="470"/>
        <w:gridCol w:w="606"/>
        <w:gridCol w:w="634"/>
        <w:gridCol w:w="973"/>
        <w:gridCol w:w="904"/>
        <w:gridCol w:w="1031"/>
        <w:gridCol w:w="752"/>
        <w:gridCol w:w="1002"/>
        <w:gridCol w:w="806"/>
        <w:gridCol w:w="606"/>
        <w:gridCol w:w="674"/>
      </w:tblGrid>
      <w:tr>
        <w:tblPrEx>
          <w:tblCellMar>
            <w:top w:w="0" w:type="dxa"/>
            <w:left w:w="108" w:type="dxa"/>
            <w:bottom w:w="0" w:type="dxa"/>
            <w:right w:w="108" w:type="dxa"/>
          </w:tblCellMar>
        </w:tblPrEx>
        <w:trPr>
          <w:trHeight w:val="615"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right="-105" w:rightChars="-50"/>
              <w:jc w:val="center"/>
              <w:rPr>
                <w:rFonts w:ascii="黑体" w:hAnsi="黑体" w:eastAsia="黑体"/>
                <w:color w:val="auto"/>
                <w:kern w:val="0"/>
                <w:sz w:val="48"/>
                <w:szCs w:val="48"/>
              </w:rPr>
            </w:pPr>
            <w:r>
              <w:rPr>
                <w:rFonts w:hint="eastAsia" w:ascii="仿宋_GB2312" w:hAnsi="仿宋_GB2312" w:eastAsia="仿宋_GB2312" w:cs="仿宋_GB2312"/>
                <w:b/>
                <w:bCs/>
                <w:color w:val="auto"/>
                <w:kern w:val="0"/>
                <w:sz w:val="28"/>
                <w:szCs w:val="28"/>
                <w:u w:val="single"/>
              </w:rPr>
              <w:t xml:space="preserve"> 浮梁县202</w:t>
            </w:r>
            <w:r>
              <w:rPr>
                <w:rFonts w:hint="eastAsia" w:ascii="仿宋_GB2312" w:hAnsi="仿宋_GB2312" w:eastAsia="仿宋_GB2312" w:cs="仿宋_GB2312"/>
                <w:b/>
                <w:bCs/>
                <w:color w:val="auto"/>
                <w:kern w:val="0"/>
                <w:sz w:val="28"/>
                <w:szCs w:val="28"/>
                <w:u w:val="single"/>
                <w:lang w:val="en-US" w:eastAsia="zh-CN"/>
              </w:rPr>
              <w:t>4</w:t>
            </w:r>
            <w:r>
              <w:rPr>
                <w:rFonts w:hint="eastAsia" w:ascii="仿宋_GB2312" w:hAnsi="仿宋_GB2312" w:eastAsia="仿宋_GB2312" w:cs="仿宋_GB2312"/>
                <w:b/>
                <w:bCs/>
                <w:color w:val="auto"/>
                <w:kern w:val="0"/>
                <w:sz w:val="28"/>
                <w:szCs w:val="28"/>
                <w:u w:val="single"/>
              </w:rPr>
              <w:t xml:space="preserve">年  奄堂坞  </w:t>
            </w:r>
            <w:r>
              <w:rPr>
                <w:rFonts w:hint="eastAsia" w:ascii="仿宋_GB2312" w:hAnsi="仿宋_GB2312" w:eastAsia="仿宋_GB2312" w:cs="仿宋_GB2312"/>
                <w:b/>
                <w:bCs/>
                <w:color w:val="auto"/>
                <w:kern w:val="0"/>
                <w:sz w:val="28"/>
                <w:szCs w:val="28"/>
              </w:rPr>
              <w:t>水库度汛方案简表(调度运用方案）</w:t>
            </w:r>
          </w:p>
        </w:tc>
      </w:tr>
      <w:tr>
        <w:tblPrEx>
          <w:tblCellMar>
            <w:top w:w="0" w:type="dxa"/>
            <w:left w:w="108" w:type="dxa"/>
            <w:bottom w:w="0" w:type="dxa"/>
            <w:right w:w="108" w:type="dxa"/>
          </w:tblCellMar>
        </w:tblPrEx>
        <w:trPr>
          <w:trHeight w:val="367"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left="-105" w:leftChars="-50" w:right="-105" w:rightChars="-50"/>
              <w:jc w:val="left"/>
              <w:rPr>
                <w:rFonts w:ascii="仿宋_GB2312" w:hAnsi="宋体"/>
                <w:b/>
                <w:bCs/>
                <w:color w:val="auto"/>
                <w:kern w:val="0"/>
              </w:rPr>
            </w:pPr>
            <w:r>
              <w:rPr>
                <w:rFonts w:hint="eastAsia" w:ascii="仿宋_GB2312" w:hAnsi="仿宋_GB2312" w:eastAsia="仿宋_GB2312" w:cs="仿宋_GB2312"/>
                <w:b/>
                <w:bCs/>
                <w:color w:val="auto"/>
                <w:kern w:val="0"/>
              </w:rPr>
              <w:t xml:space="preserve"> </w:t>
            </w:r>
            <w:r>
              <w:rPr>
                <w:rFonts w:hint="eastAsia" w:ascii="仿宋_GB2312" w:hAnsi="仿宋_GB2312" w:eastAsia="仿宋_GB2312" w:cs="仿宋_GB2312"/>
                <w:b/>
                <w:bCs/>
                <w:color w:val="auto"/>
                <w:kern w:val="0"/>
                <w:szCs w:val="21"/>
              </w:rPr>
              <w:t>所在县（市、区）：浮梁县       位置：浮梁镇查大村       所在流域及水系： 昌江支流        高程系统：黄海高程</w:t>
            </w:r>
          </w:p>
        </w:tc>
      </w:tr>
      <w:tr>
        <w:tblPrEx>
          <w:tblCellMar>
            <w:top w:w="0" w:type="dxa"/>
            <w:left w:w="108" w:type="dxa"/>
            <w:bottom w:w="0" w:type="dxa"/>
            <w:right w:w="108" w:type="dxa"/>
          </w:tblCellMar>
        </w:tblPrEx>
        <w:trPr>
          <w:trHeight w:val="510" w:hRule="atLeast"/>
        </w:trPr>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bookmarkStart w:id="0" w:name="_GoBack" w:colFirst="0" w:colLast="19"/>
            <w:r>
              <w:rPr>
                <w:rFonts w:hint="eastAsia" w:ascii="仿宋_GB2312" w:hAnsi="仿宋_GB2312" w:eastAsia="仿宋_GB2312" w:cs="仿宋_GB2312"/>
                <w:color w:val="auto"/>
                <w:kern w:val="0"/>
                <w:sz w:val="20"/>
                <w:szCs w:val="20"/>
              </w:rPr>
              <w:t>集水面积</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(平方公里)</w:t>
            </w:r>
          </w:p>
        </w:tc>
        <w:tc>
          <w:tcPr>
            <w:tcW w:w="0" w:type="auto"/>
            <w:gridSpan w:val="3"/>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大   坝</w:t>
            </w:r>
          </w:p>
        </w:tc>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库</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洪水标准</w:t>
            </w:r>
          </w:p>
        </w:tc>
        <w:tc>
          <w:tcPr>
            <w:tcW w:w="0" w:type="auto"/>
            <w:gridSpan w:val="6"/>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现有防洪安全标准</w:t>
            </w:r>
          </w:p>
        </w:tc>
        <w:tc>
          <w:tcPr>
            <w:tcW w:w="1900"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历史最高洪水</w:t>
            </w:r>
          </w:p>
        </w:tc>
        <w:tc>
          <w:tcPr>
            <w:tcW w:w="3589" w:type="dxa"/>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汛期控制运用指标</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蓄  水</w:t>
            </w:r>
          </w:p>
        </w:tc>
      </w:tr>
      <w:tr>
        <w:tblPrEx>
          <w:tblCellMar>
            <w:top w:w="0" w:type="dxa"/>
            <w:left w:w="108" w:type="dxa"/>
            <w:bottom w:w="0" w:type="dxa"/>
            <w:right w:w="108" w:type="dxa"/>
          </w:tblCellMar>
        </w:tblPrEx>
        <w:trPr>
          <w:trHeight w:val="690"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坝型</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最大</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坝高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坝顶</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高程</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设计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校核</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频率</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洪峰</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gridSpan w:val="2"/>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(万立米/天数)</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最大下</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泄流量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时间</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（年月日）</w:t>
            </w:r>
          </w:p>
        </w:tc>
        <w:tc>
          <w:tcPr>
            <w:tcW w:w="904" w:type="dxa"/>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最高水位（米）</w:t>
            </w:r>
          </w:p>
        </w:tc>
        <w:tc>
          <w:tcPr>
            <w:tcW w:w="1783"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(4月1日～6月30日)</w:t>
            </w:r>
          </w:p>
        </w:tc>
        <w:tc>
          <w:tcPr>
            <w:tcW w:w="1806"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后汛期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(7月1日～9月30日)</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正常</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高水位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r>
      <w:tr>
        <w:tblPrEx>
          <w:tblCellMar>
            <w:top w:w="0" w:type="dxa"/>
            <w:left w:w="108" w:type="dxa"/>
            <w:bottom w:w="0" w:type="dxa"/>
            <w:right w:w="108" w:type="dxa"/>
          </w:tblCellMar>
        </w:tblPrEx>
        <w:trPr>
          <w:trHeight w:val="90"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2"/>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904" w:type="dxa"/>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1031"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752"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1002"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r>
      <w:tr>
        <w:tblPrEx>
          <w:tblCellMar>
            <w:top w:w="0" w:type="dxa"/>
            <w:left w:w="108" w:type="dxa"/>
            <w:bottom w:w="0" w:type="dxa"/>
            <w:right w:w="108" w:type="dxa"/>
          </w:tblCellMar>
        </w:tblPrEx>
        <w:trPr>
          <w:trHeight w:val="195" w:hRule="atLeast"/>
        </w:trPr>
        <w:tc>
          <w:tcPr>
            <w:tcW w:w="0" w:type="auto"/>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0.48</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斜墙坝</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9.3</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14.7</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3.01</w:t>
            </w:r>
          </w:p>
        </w:tc>
        <w:tc>
          <w:tcPr>
            <w:tcW w:w="0" w:type="auto"/>
            <w:gridSpan w:val="2"/>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16.79</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73.66</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2.64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18"/>
                <w:szCs w:val="18"/>
              </w:rPr>
              <w:t>1998年6月26日</w:t>
            </w:r>
          </w:p>
        </w:tc>
        <w:tc>
          <w:tcPr>
            <w:tcW w:w="904"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73.6</w:t>
            </w:r>
          </w:p>
        </w:tc>
        <w:tc>
          <w:tcPr>
            <w:tcW w:w="1031"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73</w:t>
            </w:r>
          </w:p>
        </w:tc>
        <w:tc>
          <w:tcPr>
            <w:tcW w:w="752"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9.51</w:t>
            </w:r>
          </w:p>
        </w:tc>
        <w:tc>
          <w:tcPr>
            <w:tcW w:w="1002"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73</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9.51</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73</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9.51</w:t>
            </w:r>
          </w:p>
        </w:tc>
      </w:tr>
      <w:bookmarkEnd w:id="0"/>
      <w:tr>
        <w:tblPrEx>
          <w:tblCellMar>
            <w:top w:w="0" w:type="dxa"/>
            <w:left w:w="108" w:type="dxa"/>
            <w:bottom w:w="0" w:type="dxa"/>
            <w:right w:w="108" w:type="dxa"/>
          </w:tblCellMar>
        </w:tblPrEx>
        <w:trPr>
          <w:trHeight w:val="495" w:hRule="atLeast"/>
        </w:trPr>
        <w:tc>
          <w:tcPr>
            <w:tcW w:w="0" w:type="auto"/>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安</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全</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度</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汛</w:t>
            </w:r>
          </w:p>
        </w:tc>
        <w:tc>
          <w:tcPr>
            <w:tcW w:w="0" w:type="auto"/>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right="105" w:rightChars="5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库区站网布设及观测手段</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雨量站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水位站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水文站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预   报</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预报精度：无                             级  别：</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预见期：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手算，电算：</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操作单位：</w:t>
            </w:r>
          </w:p>
        </w:tc>
        <w:tc>
          <w:tcPr>
            <w:tcW w:w="6130" w:type="dxa"/>
            <w:gridSpan w:val="10"/>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调        度       方       式</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标准      控泄条件      下泄流量       保护对象      调度权限</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4877" w:type="dxa"/>
            <w:gridSpan w:val="6"/>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防御超标准洪水措施：</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1.加大巡查次数</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2.开闸泄洪</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3.检查溢洪道及水库运行情况</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4.坚持24小时值班</w:t>
            </w:r>
          </w:p>
        </w:tc>
      </w:tr>
      <w:tr>
        <w:tblPrEx>
          <w:tblCellMar>
            <w:top w:w="0" w:type="dxa"/>
            <w:left w:w="108" w:type="dxa"/>
            <w:bottom w:w="0" w:type="dxa"/>
            <w:right w:w="108" w:type="dxa"/>
          </w:tblCellMar>
        </w:tblPrEx>
        <w:trPr>
          <w:trHeight w:val="454" w:hRule="atLeast"/>
        </w:trPr>
        <w:tc>
          <w:tcPr>
            <w:tcW w:w="0" w:type="auto"/>
            <w:vMerge w:val="restart"/>
            <w:tcBorders>
              <w:top w:val="nil"/>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要</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目</w:t>
            </w:r>
          </w:p>
        </w:tc>
        <w:tc>
          <w:tcPr>
            <w:tcW w:w="0" w:type="auto"/>
            <w:gridSpan w:val="4"/>
            <w:vMerge w:val="restart"/>
            <w:tcBorders>
              <w:top w:val="single" w:color="auto" w:sz="4" w:space="0"/>
              <w:left w:val="single" w:color="auto" w:sz="4" w:space="0"/>
              <w:right w:val="single" w:color="auto" w:sz="4" w:space="0"/>
            </w:tcBorders>
            <w:shd w:val="clear" w:color="auto" w:fill="auto"/>
            <w:noWrap w:val="0"/>
            <w:vAlign w:val="top"/>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影响工程安全的质量问题及处置措施：</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大坝清杂</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打捞库内枯枝</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控制水位</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lang w:eastAsia="zh-CN"/>
              </w:rPr>
            </w:pP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工程内、外交通状况：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通讯状况：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通电状况：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3559" w:type="dxa"/>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rPr>
              <w:t>备用电源：</w:t>
            </w:r>
            <w:r>
              <w:rPr>
                <w:rFonts w:hint="eastAsia" w:ascii="仿宋_GB2312" w:hAnsi="仿宋_GB2312" w:eastAsia="仿宋_GB2312" w:cs="仿宋_GB2312"/>
                <w:color w:val="auto"/>
                <w:kern w:val="0"/>
                <w:sz w:val="20"/>
                <w:szCs w:val="20"/>
                <w:lang w:eastAsia="zh-CN"/>
              </w:rPr>
              <w:t>无</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安置位置：</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电源类别：</w:t>
            </w:r>
          </w:p>
          <w:p>
            <w:pPr>
              <w:widowControl/>
              <w:adjustRightInd w:val="0"/>
              <w:snapToGrid w:val="0"/>
              <w:spacing w:line="240" w:lineRule="exact"/>
              <w:jc w:val="left"/>
              <w:rPr>
                <w:rFonts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功    率：</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泄洪设施要求的启动功率：</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水库备用电源的启动功率：</w:t>
            </w:r>
          </w:p>
        </w:tc>
        <w:tc>
          <w:tcPr>
            <w:tcW w:w="1031" w:type="dxa"/>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行政责任人</w:t>
            </w:r>
          </w:p>
        </w:tc>
        <w:tc>
          <w:tcPr>
            <w:tcW w:w="752"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1806"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59"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031" w:type="dxa"/>
            <w:vMerge w:val="continue"/>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752"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任爱民</w:t>
            </w:r>
          </w:p>
        </w:tc>
        <w:tc>
          <w:tcPr>
            <w:tcW w:w="1806"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镇党委副书记、镇长</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13707982523</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59"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031" w:type="dxa"/>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主管责任人</w:t>
            </w:r>
          </w:p>
        </w:tc>
        <w:tc>
          <w:tcPr>
            <w:tcW w:w="752"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1806"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59"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031"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752"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黄杰权</w:t>
            </w:r>
          </w:p>
        </w:tc>
        <w:tc>
          <w:tcPr>
            <w:tcW w:w="1806"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浮梁镇</w:t>
            </w:r>
            <w:r>
              <w:rPr>
                <w:rFonts w:hint="eastAsia" w:ascii="仿宋_GB2312" w:hAnsi="仿宋_GB2312" w:eastAsia="仿宋_GB2312" w:cs="仿宋_GB2312"/>
                <w:color w:val="auto"/>
                <w:kern w:val="0"/>
                <w:sz w:val="20"/>
                <w:szCs w:val="20"/>
                <w:lang w:eastAsia="zh-CN"/>
              </w:rPr>
              <w:t>党委委员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15807086793</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59"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031" w:type="dxa"/>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管理责任人</w:t>
            </w:r>
          </w:p>
        </w:tc>
        <w:tc>
          <w:tcPr>
            <w:tcW w:w="752" w:type="dxa"/>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1806"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59"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031" w:type="dxa"/>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752" w:type="dxa"/>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吴 彬</w:t>
            </w:r>
          </w:p>
        </w:tc>
        <w:tc>
          <w:tcPr>
            <w:tcW w:w="1806"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查大村书记</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rPr>
              <w:t>13684888802</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59"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031" w:type="dxa"/>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技术责任人</w:t>
            </w:r>
          </w:p>
        </w:tc>
        <w:tc>
          <w:tcPr>
            <w:tcW w:w="752" w:type="dxa"/>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1806"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59"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031" w:type="dxa"/>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752" w:type="dxa"/>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余顺发</w:t>
            </w:r>
          </w:p>
        </w:tc>
        <w:tc>
          <w:tcPr>
            <w:tcW w:w="1806"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农业农村办主任</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rPr>
              <w:t>13407988565</w:t>
            </w:r>
          </w:p>
        </w:tc>
      </w:tr>
      <w:tr>
        <w:tblPrEx>
          <w:tblCellMar>
            <w:top w:w="0" w:type="dxa"/>
            <w:left w:w="108" w:type="dxa"/>
            <w:bottom w:w="0" w:type="dxa"/>
            <w:right w:w="108" w:type="dxa"/>
          </w:tblCellMar>
        </w:tblPrEx>
        <w:trPr>
          <w:trHeight w:val="454" w:hRule="atLeast"/>
        </w:trPr>
        <w:tc>
          <w:tcPr>
            <w:tcW w:w="0" w:type="auto"/>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59" w:type="dxa"/>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031" w:type="dxa"/>
            <w:tcBorders>
              <w:top w:val="single" w:color="auto" w:sz="4" w:space="0"/>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1"/>
                <w:szCs w:val="21"/>
                <w:lang w:val="en-US" w:eastAsia="zh-CN"/>
              </w:rPr>
              <w:t>巡查责任人</w:t>
            </w:r>
          </w:p>
        </w:tc>
        <w:tc>
          <w:tcPr>
            <w:tcW w:w="752" w:type="dxa"/>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吴荣贵</w:t>
            </w:r>
          </w:p>
        </w:tc>
        <w:tc>
          <w:tcPr>
            <w:tcW w:w="1806"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巡查员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13879890157</w:t>
            </w:r>
          </w:p>
        </w:tc>
      </w:tr>
    </w:tbl>
    <w:p/>
    <w:sectPr>
      <w:pgSz w:w="16838" w:h="11906" w:orient="landscape"/>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0EEC2B0"/>
    <w:multiLevelType w:val="singleLevel"/>
    <w:tmpl w:val="30EEC2B0"/>
    <w:lvl w:ilvl="0" w:tentative="0">
      <w:start w:val="1"/>
      <w:numFmt w:val="decimal"/>
      <w:lvlText w:val="%1."/>
      <w:lvlJc w:val="left"/>
      <w:pPr>
        <w:tabs>
          <w:tab w:val="left" w:pos="312"/>
        </w:tabs>
      </w:pPr>
    </w:lvl>
  </w:abstractNum>
  <w:abstractNum w:abstractNumId="1">
    <w:nsid w:val="677224D3"/>
    <w:multiLevelType w:val="singleLevel"/>
    <w:tmpl w:val="677224D3"/>
    <w:lvl w:ilvl="0" w:tentative="0">
      <w:start w:val="2"/>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ZlMzQ1MjVkNzNiNmJmMDk2Y2NhNDBiMWEyYzViMDUifQ=="/>
  </w:docVars>
  <w:rsids>
    <w:rsidRoot w:val="0B1320E0"/>
    <w:rsid w:val="09D61CB2"/>
    <w:rsid w:val="0B1320E0"/>
    <w:rsid w:val="5E8E0BDA"/>
    <w:rsid w:val="64E40BE5"/>
    <w:rsid w:val="728F2A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2024-03-06T06:39:00Z</dcterms:created>
  <dc:creator>浮梁文印社 古月图文 二部</dc:creator>
  <cp:lastModifiedBy>浮梁县</cp:lastModifiedBy>
  <dcterms:modified xsi:type="dcterms:W3CDTF">2024-03-13T12:39:26Z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5808D3EC3C0F4283B49F0CE037F29E6C_11</vt:lpwstr>
  </property>
</Properties>
</file>